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jc w:val="center"/>
        <w:rPr>
          <w:rFonts w:eastAsia="方正小标宋简体" w:cs="方正仿宋简体"/>
          <w:color w:val="000000"/>
          <w:sz w:val="32"/>
          <w:szCs w:val="32"/>
        </w:rPr>
      </w:pPr>
      <w:r>
        <w:rPr>
          <w:rFonts w:hint="eastAsia" w:eastAsia="方正小标宋简体" w:cs="方正仿宋简体"/>
          <w:color w:val="000000"/>
          <w:sz w:val="32"/>
          <w:szCs w:val="32"/>
        </w:rPr>
        <w:t>家用燃气灶具产品质量监督抽查实施细则</w:t>
      </w:r>
    </w:p>
    <w:p>
      <w:pPr>
        <w:adjustRightInd w:val="0"/>
        <w:snapToGrid w:val="0"/>
        <w:spacing w:line="440" w:lineRule="exact"/>
        <w:rPr>
          <w:rFonts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 xml:space="preserve">1 </w:t>
      </w:r>
      <w:r>
        <w:rPr>
          <w:rFonts w:hint="eastAsia"/>
          <w:b/>
          <w:bCs/>
        </w:rPr>
        <w:t>抽样方法及抽样数量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1.1抽样方法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样品应当由抽样人员在被抽样生产者、销售者的待销产品或者生产线末端经检验合格的产品中随机抽样。抽样基数满足抽样数量即可。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1.2抽样数量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抽取同一生产者、同一标准生产的同一商标、同一规格型号的产</w:t>
      </w:r>
      <w:r>
        <w:rPr>
          <w:rFonts w:hint="eastAsia" w:ascii="宋体" w:hAnsi="宋体" w:cs="宋体"/>
          <w:szCs w:val="21"/>
          <w:highlight w:val="none"/>
        </w:rPr>
        <w:t>品3台，其中2台为检</w:t>
      </w:r>
      <w:r>
        <w:rPr>
          <w:rFonts w:hint="eastAsia" w:ascii="宋体" w:hAnsi="宋体" w:cs="宋体"/>
          <w:szCs w:val="21"/>
        </w:rPr>
        <w:t>验样品，1台为备用样品。</w:t>
      </w:r>
    </w:p>
    <w:p>
      <w:pPr>
        <w:adjustRightInd w:val="0"/>
        <w:snapToGrid w:val="0"/>
        <w:spacing w:line="440" w:lineRule="exac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2 检验及判定依据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GB 4706.1-2005   家用和类似用途电器的安全  第1部分：通用要求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GB 4706.28-2008  家用和类似用途电器的安全  吸油烟机的特殊要求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产品明示质量指标及国家法律、法规、规章的有关规定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浙江省吸油烟机产品质量监督抽查评价规则GZ385404吸油烟机188-2020</w:t>
      </w:r>
    </w:p>
    <w:p>
      <w:pPr>
        <w:adjustRightInd w:val="0"/>
        <w:snapToGrid w:val="0"/>
        <w:spacing w:line="440" w:lineRule="exact"/>
        <w:rPr>
          <w:rFonts w:hint="eastAsia" w:ascii="宋体" w:hAnsi="宋体" w:cs="宋体"/>
          <w:b/>
          <w:bCs/>
          <w:color w:val="000000"/>
          <w:szCs w:val="21"/>
        </w:rPr>
      </w:pPr>
      <w:r>
        <w:rPr>
          <w:rFonts w:hint="eastAsia" w:ascii="宋体" w:hAnsi="宋体" w:cs="宋体"/>
          <w:b/>
          <w:bCs/>
          <w:color w:val="000000"/>
          <w:szCs w:val="21"/>
        </w:rPr>
        <w:t>3 检测项目</w:t>
      </w:r>
    </w:p>
    <w:p>
      <w:pPr>
        <w:adjustRightInd w:val="0"/>
        <w:snapToGrid w:val="0"/>
        <w:spacing w:line="440" w:lineRule="exact"/>
        <w:rPr>
          <w:rFonts w:hint="eastAsia" w:ascii="宋体" w:hAnsi="宋体" w:cs="宋体"/>
          <w:b/>
          <w:bCs/>
          <w:color w:val="000000"/>
          <w:szCs w:val="21"/>
        </w:rPr>
      </w:pPr>
    </w:p>
    <w:tbl>
      <w:tblPr>
        <w:tblStyle w:val="7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1455"/>
        <w:gridCol w:w="2763"/>
        <w:gridCol w:w="872"/>
        <w:gridCol w:w="1396"/>
        <w:gridCol w:w="709"/>
        <w:gridCol w:w="992"/>
        <w:gridCol w:w="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序号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检验项目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标准条款</w:t>
            </w:r>
          </w:p>
        </w:tc>
        <w:tc>
          <w:tcPr>
            <w:tcW w:w="872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不合格</w:t>
            </w:r>
          </w:p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类别</w:t>
            </w:r>
          </w:p>
        </w:tc>
        <w:tc>
          <w:tcPr>
            <w:tcW w:w="1396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/>
              </w:rPr>
              <w:t>项目设定</w:t>
            </w:r>
          </w:p>
        </w:tc>
        <w:tc>
          <w:tcPr>
            <w:tcW w:w="709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样品号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复检用</w:t>
            </w:r>
          </w:p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样品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Ansi="宋体" w:cs="Courier New"/>
              </w:rPr>
              <w:t>1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标志和说明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GB4706.</w:t>
            </w:r>
            <w:r>
              <w:rPr>
                <w:rFonts w:hint="eastAsia" w:hAnsi="宋体"/>
              </w:rPr>
              <w:t>1-2005 7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GB 4706.28-2008 7</w:t>
            </w:r>
          </w:p>
        </w:tc>
        <w:tc>
          <w:tcPr>
            <w:tcW w:w="872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A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强制性条款</w:t>
            </w:r>
          </w:p>
        </w:tc>
        <w:tc>
          <w:tcPr>
            <w:tcW w:w="709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1</w:t>
            </w:r>
            <w:r>
              <w:rPr>
                <w:rFonts w:hint="eastAsia" w:hAnsi="宋体" w:cs="Courier New"/>
                <w:vertAlign w:val="superscript"/>
              </w:rPr>
              <w:t>#</w:t>
            </w:r>
          </w:p>
        </w:tc>
        <w:tc>
          <w:tcPr>
            <w:tcW w:w="992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/>
              </w:rPr>
              <w:t>备样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Ansi="宋体" w:cs="Courier New"/>
              </w:rPr>
              <w:t>2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对触及带电部件的防护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GB4706.</w:t>
            </w:r>
            <w:r>
              <w:rPr>
                <w:rFonts w:hint="eastAsia" w:hAnsi="宋体"/>
              </w:rPr>
              <w:t>1-2005 8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GB 4706.28-2008 8</w:t>
            </w:r>
          </w:p>
        </w:tc>
        <w:tc>
          <w:tcPr>
            <w:tcW w:w="872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A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强制性条款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vertAlign w:val="superscript"/>
              </w:rPr>
              <w:t>#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备样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Ansi="宋体" w:cs="Courier New"/>
              </w:rPr>
              <w:t>3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输入功率和电流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GB4706.</w:t>
            </w:r>
            <w:r>
              <w:rPr>
                <w:rFonts w:hint="eastAsia" w:hAnsi="宋体"/>
              </w:rPr>
              <w:t>1-2005 10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GB 4706.28-2008 10</w:t>
            </w: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强制性条款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vertAlign w:val="superscript"/>
              </w:rPr>
              <w:t>#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备样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Ansi="宋体" w:cs="Courier New"/>
              </w:rPr>
              <w:t>4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发热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GB4706.</w:t>
            </w:r>
            <w:r>
              <w:rPr>
                <w:rFonts w:hint="eastAsia" w:hAnsi="宋体"/>
              </w:rPr>
              <w:t>1-2005 11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GB 4706.28-2008 11</w:t>
            </w: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强制性条款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vertAlign w:val="superscript"/>
              </w:rPr>
              <w:t>#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备样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Ansi="宋体" w:cs="Courier New"/>
              </w:rPr>
              <w:t>5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工作温度下的泄漏电流和电气强度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GB4706.</w:t>
            </w:r>
            <w:r>
              <w:rPr>
                <w:rFonts w:hint="eastAsia" w:hAnsi="宋体"/>
              </w:rPr>
              <w:t>1-2005 13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GB 4706.28-2008 13</w:t>
            </w: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强制性条款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vertAlign w:val="superscript"/>
              </w:rPr>
              <w:t>#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备样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Ansi="宋体" w:cs="Courier New"/>
              </w:rPr>
              <w:t>6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瞬态过电压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GB4706.</w:t>
            </w:r>
            <w:r>
              <w:rPr>
                <w:rFonts w:hint="eastAsia" w:hAnsi="宋体"/>
              </w:rPr>
              <w:t>1-2005 14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GB 4706.28-2008 14</w:t>
            </w: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强制性条款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vertAlign w:val="superscript"/>
              </w:rPr>
              <w:t>#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备样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7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变压器和相关电路的过载保护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GB4706.</w:t>
            </w:r>
            <w:r>
              <w:rPr>
                <w:rFonts w:hint="eastAsia" w:hAnsi="宋体"/>
              </w:rPr>
              <w:t>1-2005 17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GB 4706.28-2008 17</w:t>
            </w: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强制性条款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vertAlign w:val="superscript"/>
              </w:rPr>
              <w:t>#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备样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8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非正常工作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GB4706.</w:t>
            </w:r>
            <w:r>
              <w:rPr>
                <w:rFonts w:hint="eastAsia" w:hAnsi="宋体"/>
              </w:rPr>
              <w:t>1-2005 19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GB 4706.28-2008 19</w:t>
            </w: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强制性</w:t>
            </w:r>
            <w:bookmarkStart w:id="0" w:name="_GoBack"/>
            <w:bookmarkEnd w:id="0"/>
            <w:r>
              <w:rPr>
                <w:rFonts w:hint="eastAsia"/>
              </w:rPr>
              <w:t>条款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vertAlign w:val="superscript"/>
              </w:rPr>
              <w:t>#</w:t>
            </w:r>
            <w:r>
              <w:rPr>
                <w:rFonts w:hint="eastAsia" w:ascii="宋体" w:hAnsi="宋体"/>
                <w:vertAlign w:val="superscript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>-2</w:t>
            </w:r>
            <w:r>
              <w:rPr>
                <w:rFonts w:hint="eastAsia" w:ascii="宋体" w:hAnsi="宋体"/>
                <w:vertAlign w:val="superscript"/>
              </w:rPr>
              <w:t>#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备样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int="eastAsia" w:hAnsi="宋体" w:cs="宋体"/>
                <w:sz w:val="18"/>
                <w:szCs w:val="18"/>
                <w:lang w:eastAsia="zh-CN"/>
              </w:rPr>
              <w:t>只检测</w:t>
            </w:r>
            <w:r>
              <w:rPr>
                <w:rFonts w:hint="eastAsia" w:hAnsi="宋体" w:cs="宋体"/>
                <w:sz w:val="18"/>
                <w:szCs w:val="18"/>
              </w:rPr>
              <w:t>19.11.4条款项目</w:t>
            </w:r>
            <w:r>
              <w:rPr>
                <w:rFonts w:hint="eastAsia" w:hAnsi="宋体" w:cs="宋体"/>
                <w:sz w:val="18"/>
                <w:szCs w:val="18"/>
                <w:lang w:eastAsia="zh-CN"/>
              </w:rPr>
              <w:t>中的</w:t>
            </w:r>
            <w:r>
              <w:rPr>
                <w:rFonts w:hint="eastAsia" w:hAnsi="宋体" w:cs="Courier New"/>
              </w:rPr>
              <w:t>静电放电</w:t>
            </w:r>
            <w:r>
              <w:rPr>
                <w:rFonts w:hint="eastAsia" w:hAnsi="宋体" w:cs="Courier New"/>
                <w:lang w:eastAsia="zh-CN"/>
              </w:rPr>
              <w:t>抗扰度</w:t>
            </w:r>
            <w:r>
              <w:rPr>
                <w:rFonts w:hint="eastAsia" w:hAnsi="宋体" w:cs="Courier New"/>
              </w:rPr>
              <w:t>试验</w:t>
            </w:r>
            <w:r>
              <w:rPr>
                <w:rFonts w:hint="eastAsia" w:hAnsi="宋体" w:cs="Courier New"/>
                <w:lang w:eastAsia="zh-CN"/>
              </w:rPr>
              <w:t>、电快速瞬变脉冲群抗扰度试验两项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9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稳定性和机械危险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GB4706.</w:t>
            </w:r>
            <w:r>
              <w:rPr>
                <w:rFonts w:hint="eastAsia" w:hAnsi="宋体"/>
              </w:rPr>
              <w:t>1-2005 20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GB 4706.28-2008 20</w:t>
            </w: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强制性条款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vertAlign w:val="superscript"/>
              </w:rPr>
              <w:t>#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备样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10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机械强度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GB4706.</w:t>
            </w:r>
            <w:r>
              <w:rPr>
                <w:rFonts w:hint="eastAsia" w:hAnsi="宋体"/>
              </w:rPr>
              <w:t>1-2005 21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GB 4706.28-2008 21</w:t>
            </w: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强制性条款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vertAlign w:val="superscript"/>
              </w:rPr>
              <w:t>#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备样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11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结构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GB4706.</w:t>
            </w:r>
            <w:r>
              <w:rPr>
                <w:rFonts w:hint="eastAsia" w:hAnsi="宋体"/>
              </w:rPr>
              <w:t>1-2005 22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GB 4706.28-2008 22</w:t>
            </w: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强制性条款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vertAlign w:val="superscript"/>
              </w:rPr>
              <w:t>#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备样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12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内部布线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GB4706.</w:t>
            </w:r>
            <w:r>
              <w:rPr>
                <w:rFonts w:hint="eastAsia" w:hAnsi="宋体"/>
              </w:rPr>
              <w:t>1-2005 23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GB 4706.28-2008 23</w:t>
            </w: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强制性条款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vertAlign w:val="superscript"/>
              </w:rPr>
              <w:t>#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备样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13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元件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GB4706.</w:t>
            </w:r>
            <w:r>
              <w:rPr>
                <w:rFonts w:hint="eastAsia" w:hAnsi="宋体"/>
              </w:rPr>
              <w:t>1-2005 24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GB 4706.28-2008 24</w:t>
            </w: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强制性条款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vertAlign w:val="superscript"/>
              </w:rPr>
              <w:t>#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备样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14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电源连接和外部软线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GB4706.</w:t>
            </w:r>
            <w:r>
              <w:rPr>
                <w:rFonts w:hint="eastAsia" w:hAnsi="宋体"/>
              </w:rPr>
              <w:t>1-2005 25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GB 4706.28-2008 25</w:t>
            </w: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强制性条款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vertAlign w:val="superscript"/>
              </w:rPr>
              <w:t>#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备样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15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外部导线用接线端子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GB4706.</w:t>
            </w:r>
            <w:r>
              <w:rPr>
                <w:rFonts w:hint="eastAsia" w:hAnsi="宋体"/>
              </w:rPr>
              <w:t>1-2005 26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GB 4706.28-2008 26</w:t>
            </w: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强制性条款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vertAlign w:val="superscript"/>
              </w:rPr>
              <w:t>#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备样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18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接地措施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GB4706.</w:t>
            </w:r>
            <w:r>
              <w:rPr>
                <w:rFonts w:hint="eastAsia" w:hAnsi="宋体"/>
              </w:rPr>
              <w:t>1-2005 27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GB 4706.28-2008 27</w:t>
            </w: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强制性条款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vertAlign w:val="superscript"/>
              </w:rPr>
              <w:t>#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备样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03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17</w:t>
            </w:r>
          </w:p>
        </w:tc>
        <w:tc>
          <w:tcPr>
            <w:tcW w:w="1455" w:type="dxa"/>
            <w:noWrap/>
            <w:vAlign w:val="center"/>
          </w:tcPr>
          <w:p>
            <w:pPr>
              <w:pStyle w:val="3"/>
              <w:jc w:val="center"/>
              <w:rPr>
                <w:rFonts w:hAnsi="宋体" w:cs="Courier New"/>
              </w:rPr>
            </w:pPr>
            <w:r>
              <w:rPr>
                <w:rFonts w:hint="eastAsia" w:hAnsi="宋体" w:cs="Courier New"/>
              </w:rPr>
              <w:t>螺钉和连接</w:t>
            </w:r>
          </w:p>
        </w:tc>
        <w:tc>
          <w:tcPr>
            <w:tcW w:w="2763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Ansi="宋体"/>
              </w:rPr>
              <w:t>GB4706.</w:t>
            </w:r>
            <w:r>
              <w:rPr>
                <w:rFonts w:hint="eastAsia" w:hAnsi="宋体"/>
              </w:rPr>
              <w:t>1-2005 28</w:t>
            </w:r>
          </w:p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GB 4706.28-2008 28</w:t>
            </w:r>
          </w:p>
        </w:tc>
        <w:tc>
          <w:tcPr>
            <w:tcW w:w="87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A</w:t>
            </w:r>
          </w:p>
        </w:tc>
        <w:tc>
          <w:tcPr>
            <w:tcW w:w="1396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强制性条款</w:t>
            </w:r>
          </w:p>
        </w:tc>
        <w:tc>
          <w:tcPr>
            <w:tcW w:w="709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vertAlign w:val="superscript"/>
              </w:rPr>
              <w:t>#</w:t>
            </w:r>
          </w:p>
        </w:tc>
        <w:tc>
          <w:tcPr>
            <w:tcW w:w="992" w:type="dxa"/>
            <w:noWrap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备样</w:t>
            </w:r>
          </w:p>
        </w:tc>
        <w:tc>
          <w:tcPr>
            <w:tcW w:w="849" w:type="dxa"/>
            <w:noWrap/>
            <w:vAlign w:val="center"/>
          </w:tcPr>
          <w:p>
            <w:pPr>
              <w:pStyle w:val="3"/>
              <w:adjustRightInd w:val="0"/>
              <w:snapToGrid w:val="0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/</w:t>
            </w:r>
          </w:p>
        </w:tc>
      </w:tr>
    </w:tbl>
    <w:p>
      <w:pPr>
        <w:adjustRightInd w:val="0"/>
        <w:snapToGrid w:val="0"/>
        <w:spacing w:line="440" w:lineRule="exact"/>
        <w:ind w:firstLine="422" w:firstLineChars="200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4判定原则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（一）判定总则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1.当产品的国家、行业、地方强制性标准（含国家、行业、地方推荐性标准中的强制性条款）和执行的企业标准（含明示质量指标）各技术要求不一致时，应按其中最严要求进行质量判定。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2.当产品执行国家、行业、地方标准时,按国家、行业、地方标准要求进行质量判定。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当产品执行企业标准（含明示质量指标）时，按其企业标准要求进行质量判定，但如主要项目技术要求低于国家、行业、推荐性标准要求（含国家、行业、地方强制性标准中的推荐性条款）时，应在检验报告中注明主要项目的实测值和标准值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（二）单项质量判定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当所检项目的检验结果符合执行标准中该项目要求时，判该项目为符合执行标准要求，否则判该项目为不符合执行标准要求。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（三）综合质量判定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1.所检项目出现下列情形之一的，检验结论为“不合格”：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(1)发现一项或一项以上A类项目不符合执行标准要求；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(2)发现两项或两项以上B类项目不符合执行标准要求。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2.同时满足下列要求的，检验结论为“所检项目符合本次监督抽查要求”：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(1)未发现A类项目不符合执行标准要求；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(2)发现不符合执行标准的B类项目数量少于两项。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（3）所检主要项目的检验结果符合国家、行业、地方标准中推荐性条款要求的。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3.同时满足下列要求的，检验结论为“所检项目符合企业标准，未达到国家、行业、地方标准规定”。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（1）未发现A类项目不符合执行标准要求；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（2）发现不符合执行标准的B类项目数量少于两项；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（3）所检主要项目的检验结果出现一个或一个以上低于国家、行业、地方标准中推荐性条款要求的。</w:t>
      </w:r>
    </w:p>
    <w:p>
      <w:pPr>
        <w:adjustRightInd w:val="0"/>
        <w:snapToGrid w:val="0"/>
        <w:spacing w:line="440" w:lineRule="exact"/>
        <w:ind w:firstLine="422" w:firstLineChars="200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5 </w:t>
      </w:r>
      <w:r>
        <w:rPr>
          <w:rFonts w:hint="eastAsia" w:ascii="宋体" w:hAnsi="宋体" w:cs="宋体"/>
          <w:b/>
          <w:bCs/>
          <w:szCs w:val="21"/>
        </w:rPr>
        <w:t>异议处理</w:t>
      </w:r>
    </w:p>
    <w:p>
      <w:pPr>
        <w:adjustRightInd w:val="0"/>
        <w:snapToGrid w:val="0"/>
        <w:spacing w:line="440" w:lineRule="exac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原样复检时，如果原样情况不满足复检要求的，应启动备样进行复检，同时向任务下达部门告知原样不满足的情况说明。</w:t>
      </w:r>
    </w:p>
    <w:p>
      <w:pPr>
        <w:adjustRightInd w:val="0"/>
        <w:snapToGrid w:val="0"/>
        <w:spacing w:line="440" w:lineRule="exact"/>
        <w:ind w:firstLine="420" w:firstLineChars="200"/>
        <w:rPr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474" w:bottom="1644" w:left="1474" w:header="850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t>1</w:t>
    </w:r>
    <w:r>
      <w:rPr>
        <w:lang w:val="zh-CN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51A44"/>
    <w:rsid w:val="00061652"/>
    <w:rsid w:val="00066A70"/>
    <w:rsid w:val="00072092"/>
    <w:rsid w:val="00081CBD"/>
    <w:rsid w:val="000976DE"/>
    <w:rsid w:val="000A1B5D"/>
    <w:rsid w:val="000A218A"/>
    <w:rsid w:val="000A4BF8"/>
    <w:rsid w:val="000D3814"/>
    <w:rsid w:val="00143242"/>
    <w:rsid w:val="00172A27"/>
    <w:rsid w:val="001809DD"/>
    <w:rsid w:val="001955C6"/>
    <w:rsid w:val="001B59A4"/>
    <w:rsid w:val="001E599D"/>
    <w:rsid w:val="001F56C7"/>
    <w:rsid w:val="00216CCF"/>
    <w:rsid w:val="0022592D"/>
    <w:rsid w:val="00231185"/>
    <w:rsid w:val="00233F90"/>
    <w:rsid w:val="00234150"/>
    <w:rsid w:val="00236A16"/>
    <w:rsid w:val="0024504D"/>
    <w:rsid w:val="00253624"/>
    <w:rsid w:val="00256165"/>
    <w:rsid w:val="00265532"/>
    <w:rsid w:val="002C1C37"/>
    <w:rsid w:val="002D2D94"/>
    <w:rsid w:val="002D3CD9"/>
    <w:rsid w:val="002D566E"/>
    <w:rsid w:val="002D7F8A"/>
    <w:rsid w:val="002E0D1D"/>
    <w:rsid w:val="002E2C53"/>
    <w:rsid w:val="003203A3"/>
    <w:rsid w:val="0033120C"/>
    <w:rsid w:val="00344256"/>
    <w:rsid w:val="00353031"/>
    <w:rsid w:val="00364412"/>
    <w:rsid w:val="00382101"/>
    <w:rsid w:val="0039632F"/>
    <w:rsid w:val="003A1EE0"/>
    <w:rsid w:val="003B6278"/>
    <w:rsid w:val="003C388C"/>
    <w:rsid w:val="003D2BA8"/>
    <w:rsid w:val="003E1CA2"/>
    <w:rsid w:val="003E61BF"/>
    <w:rsid w:val="003E77B8"/>
    <w:rsid w:val="004064AE"/>
    <w:rsid w:val="00412BB6"/>
    <w:rsid w:val="00427BEC"/>
    <w:rsid w:val="0043308E"/>
    <w:rsid w:val="00445E86"/>
    <w:rsid w:val="00454348"/>
    <w:rsid w:val="00474E04"/>
    <w:rsid w:val="004841E4"/>
    <w:rsid w:val="004A378C"/>
    <w:rsid w:val="004B77D4"/>
    <w:rsid w:val="004B7A79"/>
    <w:rsid w:val="004C627D"/>
    <w:rsid w:val="004C656E"/>
    <w:rsid w:val="004D0C5A"/>
    <w:rsid w:val="004E1396"/>
    <w:rsid w:val="004F2CE9"/>
    <w:rsid w:val="005144B1"/>
    <w:rsid w:val="00524748"/>
    <w:rsid w:val="00563EBC"/>
    <w:rsid w:val="00576C76"/>
    <w:rsid w:val="00582D28"/>
    <w:rsid w:val="005A5970"/>
    <w:rsid w:val="005B251E"/>
    <w:rsid w:val="005B329D"/>
    <w:rsid w:val="005D26B5"/>
    <w:rsid w:val="005D776B"/>
    <w:rsid w:val="006113DD"/>
    <w:rsid w:val="00616334"/>
    <w:rsid w:val="00616736"/>
    <w:rsid w:val="0062021C"/>
    <w:rsid w:val="00620844"/>
    <w:rsid w:val="00633EB4"/>
    <w:rsid w:val="006441A2"/>
    <w:rsid w:val="00647BA7"/>
    <w:rsid w:val="00655828"/>
    <w:rsid w:val="00670C28"/>
    <w:rsid w:val="00674619"/>
    <w:rsid w:val="006D03F8"/>
    <w:rsid w:val="006F0971"/>
    <w:rsid w:val="00714CF9"/>
    <w:rsid w:val="0072334C"/>
    <w:rsid w:val="0074550A"/>
    <w:rsid w:val="00755E00"/>
    <w:rsid w:val="007570D4"/>
    <w:rsid w:val="00767EF3"/>
    <w:rsid w:val="00781FE4"/>
    <w:rsid w:val="00795ACA"/>
    <w:rsid w:val="007A0498"/>
    <w:rsid w:val="007C3F40"/>
    <w:rsid w:val="007C55D3"/>
    <w:rsid w:val="007D1935"/>
    <w:rsid w:val="008311A3"/>
    <w:rsid w:val="00887B02"/>
    <w:rsid w:val="00891690"/>
    <w:rsid w:val="00895BEA"/>
    <w:rsid w:val="008A3497"/>
    <w:rsid w:val="008B5FE8"/>
    <w:rsid w:val="008C2522"/>
    <w:rsid w:val="008C414B"/>
    <w:rsid w:val="00906DA9"/>
    <w:rsid w:val="00917A54"/>
    <w:rsid w:val="00920B2B"/>
    <w:rsid w:val="00956AD8"/>
    <w:rsid w:val="00956BDB"/>
    <w:rsid w:val="009615D5"/>
    <w:rsid w:val="009904F4"/>
    <w:rsid w:val="009C5E17"/>
    <w:rsid w:val="009D2154"/>
    <w:rsid w:val="009D3FED"/>
    <w:rsid w:val="00A10A9A"/>
    <w:rsid w:val="00A11CFC"/>
    <w:rsid w:val="00A13FA7"/>
    <w:rsid w:val="00A36FD3"/>
    <w:rsid w:val="00A42329"/>
    <w:rsid w:val="00A43553"/>
    <w:rsid w:val="00A91CA2"/>
    <w:rsid w:val="00AA0A13"/>
    <w:rsid w:val="00AB1568"/>
    <w:rsid w:val="00AC208E"/>
    <w:rsid w:val="00AE730F"/>
    <w:rsid w:val="00B17237"/>
    <w:rsid w:val="00B700A1"/>
    <w:rsid w:val="00B87FE0"/>
    <w:rsid w:val="00BB3623"/>
    <w:rsid w:val="00BC3D13"/>
    <w:rsid w:val="00BD0B4C"/>
    <w:rsid w:val="00BD1144"/>
    <w:rsid w:val="00BE50C0"/>
    <w:rsid w:val="00C04A74"/>
    <w:rsid w:val="00C22430"/>
    <w:rsid w:val="00C23A6C"/>
    <w:rsid w:val="00C26074"/>
    <w:rsid w:val="00C359A1"/>
    <w:rsid w:val="00C402CD"/>
    <w:rsid w:val="00C83B0A"/>
    <w:rsid w:val="00CA2F72"/>
    <w:rsid w:val="00CA46B3"/>
    <w:rsid w:val="00CE1E0C"/>
    <w:rsid w:val="00CE277E"/>
    <w:rsid w:val="00CF2F56"/>
    <w:rsid w:val="00D0002C"/>
    <w:rsid w:val="00D03407"/>
    <w:rsid w:val="00D1319E"/>
    <w:rsid w:val="00D217B6"/>
    <w:rsid w:val="00D36550"/>
    <w:rsid w:val="00D56867"/>
    <w:rsid w:val="00D65DEB"/>
    <w:rsid w:val="00D76C69"/>
    <w:rsid w:val="00D97974"/>
    <w:rsid w:val="00DA393A"/>
    <w:rsid w:val="00DD1072"/>
    <w:rsid w:val="00E02A7F"/>
    <w:rsid w:val="00E07880"/>
    <w:rsid w:val="00E16F41"/>
    <w:rsid w:val="00E2126E"/>
    <w:rsid w:val="00E367C4"/>
    <w:rsid w:val="00E37ACF"/>
    <w:rsid w:val="00E6527C"/>
    <w:rsid w:val="00E82621"/>
    <w:rsid w:val="00EC351B"/>
    <w:rsid w:val="00EE7375"/>
    <w:rsid w:val="00F318AC"/>
    <w:rsid w:val="00F37C28"/>
    <w:rsid w:val="00F418B1"/>
    <w:rsid w:val="00F52D58"/>
    <w:rsid w:val="00F77C9A"/>
    <w:rsid w:val="00F91F5A"/>
    <w:rsid w:val="00FA7C1C"/>
    <w:rsid w:val="00FB537B"/>
    <w:rsid w:val="00FB576C"/>
    <w:rsid w:val="00FD2AA6"/>
    <w:rsid w:val="00FE2687"/>
    <w:rsid w:val="00FE7E8A"/>
    <w:rsid w:val="021C190E"/>
    <w:rsid w:val="0303010A"/>
    <w:rsid w:val="11062EC0"/>
    <w:rsid w:val="12854848"/>
    <w:rsid w:val="15A56B68"/>
    <w:rsid w:val="17CC1573"/>
    <w:rsid w:val="1B5059FB"/>
    <w:rsid w:val="20695593"/>
    <w:rsid w:val="212E148F"/>
    <w:rsid w:val="27B65468"/>
    <w:rsid w:val="2AB64AAD"/>
    <w:rsid w:val="2C024D06"/>
    <w:rsid w:val="303A0F5C"/>
    <w:rsid w:val="323F5FC7"/>
    <w:rsid w:val="3B571843"/>
    <w:rsid w:val="3BC5182B"/>
    <w:rsid w:val="3C1C4C33"/>
    <w:rsid w:val="421B28B8"/>
    <w:rsid w:val="424F3DA0"/>
    <w:rsid w:val="44740A4B"/>
    <w:rsid w:val="48DE0E6F"/>
    <w:rsid w:val="4B476984"/>
    <w:rsid w:val="4CE12189"/>
    <w:rsid w:val="522C67B4"/>
    <w:rsid w:val="560412FB"/>
    <w:rsid w:val="57F41C4E"/>
    <w:rsid w:val="5C0156A2"/>
    <w:rsid w:val="5EE504A9"/>
    <w:rsid w:val="65FF187D"/>
    <w:rsid w:val="67010F92"/>
    <w:rsid w:val="673322F5"/>
    <w:rsid w:val="6A9A7115"/>
    <w:rsid w:val="742A1187"/>
    <w:rsid w:val="75740BE2"/>
    <w:rsid w:val="762A1E93"/>
    <w:rsid w:val="7DFE71F2"/>
    <w:rsid w:val="7E8124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Plain Text"/>
    <w:basedOn w:val="1"/>
    <w:link w:val="11"/>
    <w:qFormat/>
    <w:uiPriority w:val="0"/>
    <w:rPr>
      <w:rFonts w:ascii="宋体" w:hAnsi="Courier New"/>
      <w:kern w:val="0"/>
      <w:sz w:val="20"/>
      <w:szCs w:val="20"/>
    </w:r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1">
    <w:name w:val="纯文本 Char2"/>
    <w:link w:val="3"/>
    <w:qFormat/>
    <w:locked/>
    <w:uiPriority w:val="99"/>
    <w:rPr>
      <w:rFonts w:ascii="宋体" w:hAnsi="Courier New"/>
    </w:rPr>
  </w:style>
  <w:style w:type="character" w:customStyle="1" w:styleId="12">
    <w:name w:val="页脚 Char"/>
    <w:link w:val="5"/>
    <w:qFormat/>
    <w:uiPriority w:val="99"/>
    <w:rPr>
      <w:kern w:val="2"/>
      <w:sz w:val="18"/>
      <w:szCs w:val="18"/>
    </w:rPr>
  </w:style>
  <w:style w:type="character" w:customStyle="1" w:styleId="13">
    <w:name w:val="页眉 Char"/>
    <w:link w:val="6"/>
    <w:semiHidden/>
    <w:qFormat/>
    <w:uiPriority w:val="99"/>
    <w:rPr>
      <w:kern w:val="2"/>
      <w:sz w:val="18"/>
      <w:szCs w:val="18"/>
    </w:rPr>
  </w:style>
  <w:style w:type="character" w:customStyle="1" w:styleId="14">
    <w:name w:val="纯文本 Char1"/>
    <w:semiHidden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6">
    <w:name w:val="列项·"/>
    <w:qFormat/>
    <w:uiPriority w:val="99"/>
    <w:pPr>
      <w:tabs>
        <w:tab w:val="left" w:pos="840"/>
      </w:tabs>
      <w:ind w:left="42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7">
    <w:name w:val="纯文本 Char"/>
    <w:qFormat/>
    <w:locked/>
    <w:uiPriority w:val="0"/>
    <w:rPr>
      <w:rFonts w:ascii="宋体" w:hAnsi="Courier New" w:eastAsia="宋体" w:cs="宋体"/>
      <w:kern w:val="2"/>
      <w:sz w:val="21"/>
      <w:szCs w:val="21"/>
      <w:lang w:val="en-US" w:eastAsia="zh-CN" w:bidi="ar-SA"/>
    </w:rPr>
  </w:style>
  <w:style w:type="paragraph" w:customStyle="1" w:styleId="18">
    <w:name w:val="p17"/>
    <w:basedOn w:val="1"/>
    <w:qFormat/>
    <w:uiPriority w:val="0"/>
    <w:pPr>
      <w:widowControl/>
    </w:pPr>
    <w:rPr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3</Pages>
  <Words>337</Words>
  <Characters>1923</Characters>
  <Lines>16</Lines>
  <Paragraphs>4</Paragraphs>
  <TotalTime>5</TotalTime>
  <ScaleCrop>false</ScaleCrop>
  <LinksUpToDate>false</LinksUpToDate>
  <CharactersWithSpaces>2256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2022-03-17T04:38:00Z</dcterms:created>
  <dc:creator>Legend User</dc:creator>
  <cp:lastModifiedBy>Administrator</cp:lastModifiedBy>
  <cp:lastPrinted>2022-04-07T01:46:00Z</cp:lastPrinted>
  <dcterms:modified xsi:type="dcterms:W3CDTF">2022-04-08T00:37:07Z</dcterms:modified>
  <dc:title>××产品质量监督抽查实施细则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